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76" w:rsidRPr="00F8002D" w:rsidRDefault="00E34776" w:rsidP="00E34776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>Overview</w:t>
      </w:r>
      <w:r w:rsidR="00241652" w:rsidRPr="00F8002D">
        <w:rPr>
          <w:rFonts w:ascii="Tw Cen MT" w:hAnsi="Tw Cen MT"/>
          <w:b/>
          <w:sz w:val="24"/>
          <w:szCs w:val="24"/>
        </w:rPr>
        <w:t xml:space="preserve"> and Culminating Exhibition as a Graduation Requirement</w:t>
      </w:r>
    </w:p>
    <w:p w:rsidR="00317F46" w:rsidRPr="00F8002D" w:rsidRDefault="00317F46" w:rsidP="00E34776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The purpos</w:t>
      </w:r>
      <w:r w:rsidR="00241652" w:rsidRPr="00F8002D">
        <w:rPr>
          <w:rFonts w:ascii="Tw Cen MT" w:hAnsi="Tw Cen MT"/>
          <w:sz w:val="24"/>
          <w:szCs w:val="24"/>
        </w:rPr>
        <w:t xml:space="preserve">e of the Culminating Exhibition (CE) </w:t>
      </w:r>
      <w:r w:rsidRPr="00F8002D">
        <w:rPr>
          <w:rFonts w:ascii="Tw Cen MT" w:hAnsi="Tw Cen MT"/>
          <w:sz w:val="24"/>
          <w:szCs w:val="24"/>
        </w:rPr>
        <w:t xml:space="preserve">is to focus the student on developing a High School </w:t>
      </w:r>
      <w:r w:rsidR="00CB4E89">
        <w:rPr>
          <w:rFonts w:ascii="Tw Cen MT" w:hAnsi="Tw Cen MT"/>
          <w:sz w:val="24"/>
          <w:szCs w:val="24"/>
        </w:rPr>
        <w:t>&amp;</w:t>
      </w:r>
      <w:r w:rsidRPr="00F8002D">
        <w:rPr>
          <w:rFonts w:ascii="Tw Cen MT" w:hAnsi="Tw Cen MT"/>
          <w:sz w:val="24"/>
          <w:szCs w:val="24"/>
        </w:rPr>
        <w:t xml:space="preserve"> Beyond Plan, completing a Culminating Project, and successfully navigating the transition to life beyond high school through the use of 21st Century skill building, Web 2.0 tools, and self-reflection.</w:t>
      </w:r>
      <w:r w:rsidR="00241652" w:rsidRPr="00F8002D">
        <w:rPr>
          <w:rFonts w:ascii="Tw Cen MT" w:hAnsi="Tw Cen MT"/>
          <w:sz w:val="24"/>
          <w:szCs w:val="24"/>
        </w:rPr>
        <w:t xml:space="preserve">  </w:t>
      </w:r>
    </w:p>
    <w:p w:rsidR="00CB2952" w:rsidRDefault="00E34776" w:rsidP="00241652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The Everett Public Schoo</w:t>
      </w:r>
      <w:r w:rsidR="00241652" w:rsidRPr="00F8002D">
        <w:rPr>
          <w:rFonts w:ascii="Tw Cen MT" w:hAnsi="Tw Cen MT"/>
          <w:sz w:val="24"/>
          <w:szCs w:val="24"/>
        </w:rPr>
        <w:t>ls’ CE</w:t>
      </w:r>
      <w:r w:rsidR="00E72B1B">
        <w:rPr>
          <w:rFonts w:ascii="Tw Cen MT" w:hAnsi="Tw Cen MT"/>
          <w:sz w:val="24"/>
          <w:szCs w:val="24"/>
        </w:rPr>
        <w:t>,</w:t>
      </w:r>
      <w:r w:rsidR="00241652" w:rsidRPr="00F8002D">
        <w:rPr>
          <w:rFonts w:ascii="Tw Cen MT" w:hAnsi="Tw Cen MT"/>
          <w:sz w:val="24"/>
          <w:szCs w:val="24"/>
        </w:rPr>
        <w:t xml:space="preserve"> </w:t>
      </w:r>
      <w:r w:rsidRPr="00F8002D">
        <w:rPr>
          <w:rFonts w:ascii="Tw Cen MT" w:hAnsi="Tw Cen MT"/>
          <w:sz w:val="24"/>
          <w:szCs w:val="24"/>
        </w:rPr>
        <w:t>established by the school board as a graduation requirement</w:t>
      </w:r>
      <w:r w:rsidR="00E72B1B">
        <w:rPr>
          <w:rFonts w:ascii="Tw Cen MT" w:hAnsi="Tw Cen MT"/>
          <w:sz w:val="24"/>
          <w:szCs w:val="24"/>
        </w:rPr>
        <w:t>,</w:t>
      </w:r>
      <w:r w:rsidRPr="00F8002D">
        <w:rPr>
          <w:rFonts w:ascii="Tw Cen MT" w:hAnsi="Tw Cen MT"/>
          <w:sz w:val="24"/>
          <w:szCs w:val="24"/>
        </w:rPr>
        <w:t xml:space="preserve"> is a student performance assessment of the Washington State Learning Goals and the Everett Public Schools' </w:t>
      </w:r>
      <w:r w:rsidR="00317F46" w:rsidRPr="00F8002D">
        <w:rPr>
          <w:rFonts w:ascii="Tw Cen MT" w:hAnsi="Tw Cen MT"/>
          <w:sz w:val="24"/>
          <w:szCs w:val="24"/>
        </w:rPr>
        <w:t>Strategic Goals</w:t>
      </w:r>
      <w:r w:rsidRPr="00F8002D">
        <w:rPr>
          <w:rFonts w:ascii="Tw Cen MT" w:hAnsi="Tw Cen MT"/>
          <w:sz w:val="24"/>
          <w:szCs w:val="24"/>
        </w:rPr>
        <w:t>. The central focus of the Senior Seminar course</w:t>
      </w:r>
      <w:r w:rsidR="00231A6B" w:rsidRPr="00F8002D">
        <w:rPr>
          <w:rFonts w:ascii="Tw Cen MT" w:hAnsi="Tw Cen MT"/>
          <w:sz w:val="24"/>
          <w:szCs w:val="24"/>
        </w:rPr>
        <w:t>, the course in which students develop and complete CE,</w:t>
      </w:r>
      <w:r w:rsidR="00241652" w:rsidRPr="00F8002D">
        <w:rPr>
          <w:rFonts w:ascii="Tw Cen MT" w:hAnsi="Tw Cen MT"/>
          <w:sz w:val="24"/>
          <w:szCs w:val="24"/>
        </w:rPr>
        <w:t xml:space="preserve"> is post-</w:t>
      </w:r>
      <w:r w:rsidRPr="00F8002D">
        <w:rPr>
          <w:rFonts w:ascii="Tw Cen MT" w:hAnsi="Tw Cen MT"/>
          <w:sz w:val="24"/>
          <w:szCs w:val="24"/>
        </w:rPr>
        <w:t xml:space="preserve">high school readiness. </w:t>
      </w:r>
    </w:p>
    <w:p w:rsidR="00E72B1B" w:rsidRPr="00F8002D" w:rsidRDefault="00E72B1B" w:rsidP="00241652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Successful completion of Senior Seminar allows the student to meet the Culminating Exhibition graduation requirement</w:t>
      </w:r>
      <w:r w:rsidR="003C5D93">
        <w:rPr>
          <w:rFonts w:ascii="Tw Cen MT" w:hAnsi="Tw Cen MT"/>
          <w:sz w:val="24"/>
          <w:szCs w:val="24"/>
        </w:rPr>
        <w:t xml:space="preserve"> (</w:t>
      </w:r>
      <w:hyperlink r:id="rId9" w:history="1">
        <w:r w:rsidR="003C5D93" w:rsidRPr="003C5D93">
          <w:rPr>
            <w:rStyle w:val="Hyperlink"/>
            <w:rFonts w:ascii="Tw Cen MT" w:hAnsi="Tw Cen MT"/>
            <w:sz w:val="24"/>
            <w:szCs w:val="24"/>
          </w:rPr>
          <w:t>Board Policy 2410 High School Graduation Requirements</w:t>
        </w:r>
      </w:hyperlink>
      <w:r w:rsidR="003C5D93">
        <w:rPr>
          <w:rFonts w:ascii="Tw Cen MT" w:hAnsi="Tw Cen MT"/>
          <w:sz w:val="24"/>
          <w:szCs w:val="24"/>
        </w:rPr>
        <w:t>)</w:t>
      </w:r>
      <w:r>
        <w:rPr>
          <w:rFonts w:ascii="Tw Cen MT" w:hAnsi="Tw Cen MT"/>
          <w:sz w:val="24"/>
          <w:szCs w:val="24"/>
        </w:rPr>
        <w:t xml:space="preserve">, as well as receive </w:t>
      </w:r>
      <w:r w:rsidR="003C5D93">
        <w:rPr>
          <w:rFonts w:ascii="Tw Cen MT" w:hAnsi="Tw Cen MT"/>
          <w:sz w:val="24"/>
          <w:szCs w:val="24"/>
        </w:rPr>
        <w:t>Senior Seminar</w:t>
      </w:r>
      <w:r>
        <w:rPr>
          <w:rFonts w:ascii="Tw Cen MT" w:hAnsi="Tw Cen MT"/>
          <w:sz w:val="24"/>
          <w:szCs w:val="24"/>
        </w:rPr>
        <w:t xml:space="preserve"> and Career &amp; Technical Education credit (</w:t>
      </w:r>
      <w:hyperlink r:id="rId10" w:history="1">
        <w:r w:rsidRPr="003C5D93">
          <w:rPr>
            <w:rStyle w:val="Hyperlink"/>
            <w:rFonts w:ascii="Tw Cen MT" w:hAnsi="Tw Cen MT"/>
            <w:sz w:val="24"/>
            <w:szCs w:val="24"/>
          </w:rPr>
          <w:t>Board Policy 2409 Granting Equivalency Credit</w:t>
        </w:r>
      </w:hyperlink>
      <w:r>
        <w:rPr>
          <w:rFonts w:ascii="Tw Cen MT" w:hAnsi="Tw Cen MT"/>
          <w:sz w:val="24"/>
          <w:szCs w:val="24"/>
        </w:rPr>
        <w:t>).</w:t>
      </w:r>
    </w:p>
    <w:p w:rsidR="00231A6B" w:rsidRPr="00F8002D" w:rsidRDefault="00231A6B" w:rsidP="00231A6B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Additional overview information is available through the</w:t>
      </w:r>
      <w:r w:rsidR="00317F46" w:rsidRPr="00F8002D">
        <w:rPr>
          <w:rFonts w:ascii="Tw Cen MT" w:hAnsi="Tw Cen MT"/>
          <w:sz w:val="24"/>
          <w:szCs w:val="24"/>
        </w:rPr>
        <w:t xml:space="preserve"> Everett Public Schools website:  </w:t>
      </w:r>
      <w:hyperlink r:id="rId11" w:history="1">
        <w:r w:rsidR="00317F46" w:rsidRPr="00F8002D">
          <w:rPr>
            <w:rStyle w:val="Hyperlink"/>
            <w:rFonts w:ascii="Tw Cen MT" w:hAnsi="Tw Cen MT"/>
            <w:sz w:val="24"/>
            <w:szCs w:val="24"/>
          </w:rPr>
          <w:t>http://www.everett.k12.wa.us/ce/</w:t>
        </w:r>
      </w:hyperlink>
    </w:p>
    <w:p w:rsidR="00231A6B" w:rsidRPr="00F8002D" w:rsidRDefault="00846220" w:rsidP="00231A6B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 xml:space="preserve">Course Objectives and </w:t>
      </w:r>
      <w:r w:rsidR="009B04D4" w:rsidRPr="00F8002D">
        <w:rPr>
          <w:rFonts w:ascii="Tw Cen MT" w:hAnsi="Tw Cen MT"/>
          <w:b/>
          <w:sz w:val="24"/>
          <w:szCs w:val="24"/>
        </w:rPr>
        <w:t xml:space="preserve">Alignment with Everett Public Schools </w:t>
      </w:r>
      <w:r w:rsidR="00231A6B" w:rsidRPr="00F8002D">
        <w:rPr>
          <w:rFonts w:ascii="Tw Cen MT" w:hAnsi="Tw Cen MT"/>
          <w:b/>
          <w:sz w:val="24"/>
          <w:szCs w:val="24"/>
        </w:rPr>
        <w:t>Strategic Goals</w:t>
      </w:r>
    </w:p>
    <w:p w:rsidR="00231A6B" w:rsidRPr="00F8002D" w:rsidRDefault="009B04D4" w:rsidP="00846220">
      <w:pPr>
        <w:ind w:left="720"/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>STRATEGIC GOAL: 1.1</w:t>
      </w:r>
      <w:r w:rsidR="00846220" w:rsidRPr="00F8002D">
        <w:rPr>
          <w:rFonts w:ascii="Tw Cen MT" w:hAnsi="Tw Cen MT"/>
          <w:b/>
          <w:sz w:val="24"/>
          <w:szCs w:val="24"/>
        </w:rPr>
        <w:t>a</w:t>
      </w:r>
      <w:r w:rsidRPr="00F8002D">
        <w:rPr>
          <w:rFonts w:ascii="Tw Cen MT" w:hAnsi="Tw Cen MT"/>
          <w:sz w:val="24"/>
          <w:szCs w:val="24"/>
        </w:rPr>
        <w:t xml:space="preserve"> </w:t>
      </w:r>
      <w:proofErr w:type="gramStart"/>
      <w:r w:rsidRPr="00F8002D">
        <w:rPr>
          <w:rFonts w:ascii="Tw Cen MT" w:hAnsi="Tw Cen MT"/>
          <w:sz w:val="24"/>
          <w:szCs w:val="24"/>
        </w:rPr>
        <w:t>Each</w:t>
      </w:r>
      <w:proofErr w:type="gramEnd"/>
      <w:r w:rsidRPr="00F8002D">
        <w:rPr>
          <w:rFonts w:ascii="Tw Cen MT" w:hAnsi="Tw Cen MT"/>
          <w:sz w:val="24"/>
          <w:szCs w:val="24"/>
        </w:rPr>
        <w:t xml:space="preserve"> student graduates from high school ready for college and career with 21st Century Skills.</w:t>
      </w:r>
    </w:p>
    <w:p w:rsidR="00846220" w:rsidRPr="00F8002D" w:rsidRDefault="00846220" w:rsidP="00846220">
      <w:pPr>
        <w:ind w:left="720"/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>STRATEGIC GOAL: 1.1b</w:t>
      </w:r>
      <w:r w:rsidRPr="00F8002D">
        <w:rPr>
          <w:rFonts w:ascii="Tw Cen MT" w:hAnsi="Tw Cen MT"/>
          <w:sz w:val="24"/>
          <w:szCs w:val="24"/>
        </w:rPr>
        <w:t xml:space="preserve"> </w:t>
      </w:r>
      <w:proofErr w:type="gramStart"/>
      <w:r w:rsidRPr="00F8002D">
        <w:rPr>
          <w:rFonts w:ascii="Tw Cen MT" w:hAnsi="Tw Cen MT"/>
          <w:sz w:val="24"/>
          <w:szCs w:val="24"/>
        </w:rPr>
        <w:t>All</w:t>
      </w:r>
      <w:proofErr w:type="gramEnd"/>
      <w:r w:rsidRPr="00F8002D">
        <w:rPr>
          <w:rFonts w:ascii="Tw Cen MT" w:hAnsi="Tw Cen MT"/>
          <w:sz w:val="24"/>
          <w:szCs w:val="24"/>
        </w:rPr>
        <w:t xml:space="preserve"> graduates exit with a post-secondary plan for work, career, and/or college </w:t>
      </w:r>
    </w:p>
    <w:p w:rsidR="009B04D4" w:rsidRPr="00F8002D" w:rsidRDefault="009B04D4" w:rsidP="00231A6B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>Course Materials</w:t>
      </w:r>
    </w:p>
    <w:p w:rsidR="009B04D4" w:rsidRPr="00F8002D" w:rsidRDefault="00846220" w:rsidP="00846220">
      <w:pPr>
        <w:pStyle w:val="ListParagraph"/>
        <w:numPr>
          <w:ilvl w:val="0"/>
          <w:numId w:val="7"/>
        </w:num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Online access for course materials</w:t>
      </w:r>
    </w:p>
    <w:p w:rsidR="00846220" w:rsidRPr="00F8002D" w:rsidRDefault="00846220" w:rsidP="00846220">
      <w:pPr>
        <w:pStyle w:val="ListParagraph"/>
        <w:numPr>
          <w:ilvl w:val="0"/>
          <w:numId w:val="7"/>
        </w:num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Flash drive (optional)</w:t>
      </w:r>
    </w:p>
    <w:p w:rsidR="00846220" w:rsidRPr="00F8002D" w:rsidRDefault="00846220" w:rsidP="00846220">
      <w:pPr>
        <w:pStyle w:val="ListParagraph"/>
        <w:numPr>
          <w:ilvl w:val="0"/>
          <w:numId w:val="7"/>
        </w:num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Headphones (optional)</w:t>
      </w:r>
    </w:p>
    <w:p w:rsidR="00231A6B" w:rsidRPr="00F8002D" w:rsidRDefault="00231A6B" w:rsidP="00231A6B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t>Course Description</w:t>
      </w:r>
      <w:r w:rsidR="00317F46" w:rsidRPr="00F8002D">
        <w:rPr>
          <w:rFonts w:ascii="Tw Cen MT" w:hAnsi="Tw Cen MT"/>
          <w:b/>
          <w:sz w:val="24"/>
          <w:szCs w:val="24"/>
        </w:rPr>
        <w:t xml:space="preserve"> and Alignment with 21</w:t>
      </w:r>
      <w:r w:rsidR="00317F46" w:rsidRPr="00F8002D">
        <w:rPr>
          <w:rFonts w:ascii="Tw Cen MT" w:hAnsi="Tw Cen MT"/>
          <w:b/>
          <w:sz w:val="24"/>
          <w:szCs w:val="24"/>
          <w:vertAlign w:val="superscript"/>
        </w:rPr>
        <w:t>st</w:t>
      </w:r>
      <w:r w:rsidR="00317F46" w:rsidRPr="00F8002D">
        <w:rPr>
          <w:rFonts w:ascii="Tw Cen MT" w:hAnsi="Tw Cen MT"/>
          <w:b/>
          <w:sz w:val="24"/>
          <w:szCs w:val="24"/>
        </w:rPr>
        <w:t xml:space="preserve"> Century Skills</w:t>
      </w:r>
    </w:p>
    <w:p w:rsidR="00317F46" w:rsidRDefault="00317F46" w:rsidP="00317F46">
      <w:pPr>
        <w:spacing w:after="0" w:line="240" w:lineRule="auto"/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 xml:space="preserve">To be college and career ready, students need to be able to integrate and apply </w:t>
      </w:r>
      <w:r w:rsidR="00241652" w:rsidRPr="00F8002D">
        <w:rPr>
          <w:rFonts w:ascii="Tw Cen MT" w:hAnsi="Tw Cen MT"/>
          <w:sz w:val="24"/>
          <w:szCs w:val="24"/>
        </w:rPr>
        <w:t>21</w:t>
      </w:r>
      <w:r w:rsidR="00241652" w:rsidRPr="00F8002D">
        <w:rPr>
          <w:rFonts w:ascii="Tw Cen MT" w:hAnsi="Tw Cen MT"/>
          <w:sz w:val="24"/>
          <w:szCs w:val="24"/>
          <w:vertAlign w:val="superscript"/>
        </w:rPr>
        <w:t>st</w:t>
      </w:r>
      <w:r w:rsidR="00241652" w:rsidRPr="00F8002D">
        <w:rPr>
          <w:rFonts w:ascii="Tw Cen MT" w:hAnsi="Tw Cen MT"/>
          <w:sz w:val="24"/>
          <w:szCs w:val="24"/>
        </w:rPr>
        <w:t xml:space="preserve"> </w:t>
      </w:r>
      <w:r w:rsidRPr="00F8002D">
        <w:rPr>
          <w:rFonts w:ascii="Tw Cen MT" w:hAnsi="Tw Cen MT"/>
          <w:sz w:val="24"/>
          <w:szCs w:val="24"/>
        </w:rPr>
        <w:t xml:space="preserve">century skills, as well as core academic and technical knowledge.  The 21st Century Skills standards adopted by the State </w:t>
      </w:r>
      <w:r w:rsidR="00E35DF6" w:rsidRPr="00F8002D">
        <w:rPr>
          <w:rFonts w:ascii="Tw Cen MT" w:hAnsi="Tw Cen MT"/>
          <w:sz w:val="24"/>
          <w:szCs w:val="24"/>
        </w:rPr>
        <w:t>of Washington, developed from the Partnership for 21</w:t>
      </w:r>
      <w:r w:rsidR="00E35DF6" w:rsidRPr="00F8002D">
        <w:rPr>
          <w:rFonts w:ascii="Tw Cen MT" w:hAnsi="Tw Cen MT"/>
          <w:sz w:val="24"/>
          <w:szCs w:val="24"/>
          <w:vertAlign w:val="superscript"/>
        </w:rPr>
        <w:t>st</w:t>
      </w:r>
      <w:r w:rsidR="00E35DF6" w:rsidRPr="00F8002D">
        <w:rPr>
          <w:rFonts w:ascii="Tw Cen MT" w:hAnsi="Tw Cen MT"/>
          <w:sz w:val="24"/>
          <w:szCs w:val="24"/>
        </w:rPr>
        <w:t xml:space="preserve"> Century Skills organization, are </w:t>
      </w:r>
      <w:r w:rsidRPr="00F8002D">
        <w:rPr>
          <w:rFonts w:ascii="Tw Cen MT" w:hAnsi="Tw Cen MT"/>
          <w:sz w:val="24"/>
          <w:szCs w:val="24"/>
        </w:rPr>
        <w:t>focus</w:t>
      </w:r>
      <w:r w:rsidR="00E35DF6" w:rsidRPr="00F8002D">
        <w:rPr>
          <w:rFonts w:ascii="Tw Cen MT" w:hAnsi="Tw Cen MT"/>
          <w:sz w:val="24"/>
          <w:szCs w:val="24"/>
        </w:rPr>
        <w:t>ed</w:t>
      </w:r>
      <w:r w:rsidRPr="00F8002D">
        <w:rPr>
          <w:rFonts w:ascii="Tw Cen MT" w:hAnsi="Tw Cen MT"/>
          <w:sz w:val="24"/>
          <w:szCs w:val="24"/>
        </w:rPr>
        <w:t xml:space="preserve"> on creativity, critical thinking, communication and collaboration.  These standards are essential to preparing students for complex lives and work environments in our global economy.  The </w:t>
      </w:r>
      <w:r w:rsidR="00241652" w:rsidRPr="00F8002D">
        <w:rPr>
          <w:rFonts w:ascii="Tw Cen MT" w:hAnsi="Tw Cen MT"/>
          <w:sz w:val="24"/>
          <w:szCs w:val="24"/>
        </w:rPr>
        <w:t xml:space="preserve">units of the </w:t>
      </w:r>
      <w:r w:rsidRPr="00F8002D">
        <w:rPr>
          <w:rFonts w:ascii="Tw Cen MT" w:hAnsi="Tw Cen MT"/>
          <w:sz w:val="24"/>
          <w:szCs w:val="24"/>
        </w:rPr>
        <w:t xml:space="preserve">Senior Seminar course </w:t>
      </w:r>
      <w:r w:rsidR="00241652" w:rsidRPr="00F8002D">
        <w:rPr>
          <w:rFonts w:ascii="Tw Cen MT" w:hAnsi="Tw Cen MT"/>
          <w:sz w:val="24"/>
          <w:szCs w:val="24"/>
        </w:rPr>
        <w:t>are aligned with the 21</w:t>
      </w:r>
      <w:r w:rsidR="00241652" w:rsidRPr="00F8002D">
        <w:rPr>
          <w:rFonts w:ascii="Tw Cen MT" w:hAnsi="Tw Cen MT"/>
          <w:sz w:val="24"/>
          <w:szCs w:val="24"/>
          <w:vertAlign w:val="superscript"/>
        </w:rPr>
        <w:t>st</w:t>
      </w:r>
      <w:r w:rsidR="00241652" w:rsidRPr="00F8002D">
        <w:rPr>
          <w:rFonts w:ascii="Tw Cen MT" w:hAnsi="Tw Cen MT"/>
          <w:sz w:val="24"/>
          <w:szCs w:val="24"/>
        </w:rPr>
        <w:t xml:space="preserve"> Century Skills standards</w:t>
      </w:r>
      <w:r w:rsidR="002E0278">
        <w:rPr>
          <w:rFonts w:ascii="Tw Cen MT" w:hAnsi="Tw Cen MT"/>
          <w:sz w:val="24"/>
          <w:szCs w:val="24"/>
        </w:rPr>
        <w:t>.</w:t>
      </w:r>
    </w:p>
    <w:p w:rsidR="002E0278" w:rsidRDefault="002E0278" w:rsidP="00317F46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2E0278" w:rsidRDefault="002E0278">
      <w:pPr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br w:type="page"/>
      </w:r>
    </w:p>
    <w:p w:rsidR="002E0278" w:rsidRPr="00F8002D" w:rsidRDefault="002E0278" w:rsidP="002E0278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lastRenderedPageBreak/>
        <w:t xml:space="preserve">Course </w:t>
      </w:r>
      <w:r>
        <w:rPr>
          <w:rFonts w:ascii="Tw Cen MT" w:hAnsi="Tw Cen MT"/>
          <w:b/>
          <w:sz w:val="24"/>
          <w:szCs w:val="24"/>
        </w:rPr>
        <w:t>Outline</w:t>
      </w:r>
    </w:p>
    <w:p w:rsidR="00846220" w:rsidRPr="00F8002D" w:rsidRDefault="00846220" w:rsidP="00846220">
      <w:pPr>
        <w:spacing w:after="0" w:line="240" w:lineRule="auto"/>
        <w:ind w:left="360"/>
        <w:rPr>
          <w:rFonts w:ascii="Tw Cen MT" w:eastAsia="Calibri" w:hAnsi="Tw Cen MT" w:cs="Times New Roman"/>
          <w:b/>
          <w:sz w:val="24"/>
          <w:szCs w:val="24"/>
        </w:rPr>
      </w:pPr>
      <w:r w:rsidRPr="00F8002D">
        <w:rPr>
          <w:rFonts w:ascii="Tw Cen MT" w:eastAsia="Calibri" w:hAnsi="Tw Cen MT" w:cs="Times New Roman"/>
          <w:b/>
          <w:sz w:val="24"/>
          <w:szCs w:val="24"/>
        </w:rPr>
        <w:t>Introduction</w:t>
      </w:r>
    </w:p>
    <w:p w:rsidR="00231A6B" w:rsidRPr="00F8002D" w:rsidRDefault="00880058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 xml:space="preserve">Examine the purpose 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>of Senior Seminar</w:t>
      </w:r>
      <w:r w:rsidR="009B04D4" w:rsidRPr="00F8002D">
        <w:rPr>
          <w:rFonts w:ascii="Tw Cen MT" w:eastAsia="Calibri" w:hAnsi="Tw Cen MT" w:cs="Times New Roman"/>
          <w:sz w:val="24"/>
          <w:szCs w:val="24"/>
        </w:rPr>
        <w:t xml:space="preserve"> and the Culminating Exhibition</w:t>
      </w:r>
    </w:p>
    <w:p w:rsidR="008766C1" w:rsidRPr="00F8002D" w:rsidRDefault="008766C1" w:rsidP="0084622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Course introduction</w:t>
      </w:r>
    </w:p>
    <w:p w:rsidR="00231A6B" w:rsidRPr="00F8002D" w:rsidRDefault="008766C1" w:rsidP="0084622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Course t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>ools</w:t>
      </w:r>
    </w:p>
    <w:p w:rsidR="00016201" w:rsidRPr="00F8002D" w:rsidRDefault="008766C1" w:rsidP="00016201">
      <w:pPr>
        <w:pStyle w:val="ListParagraph"/>
        <w:numPr>
          <w:ilvl w:val="0"/>
          <w:numId w:val="6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Internet s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>afety</w:t>
      </w:r>
    </w:p>
    <w:p w:rsidR="008766C1" w:rsidRPr="00F8002D" w:rsidRDefault="008766C1" w:rsidP="00016201">
      <w:pPr>
        <w:pStyle w:val="ListParagraph"/>
        <w:numPr>
          <w:ilvl w:val="0"/>
          <w:numId w:val="6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Permission slip for enhanced internet access</w:t>
      </w:r>
    </w:p>
    <w:p w:rsidR="008766C1" w:rsidRPr="00F8002D" w:rsidRDefault="008766C1" w:rsidP="008766C1">
      <w:pPr>
        <w:pStyle w:val="ListParagraph"/>
        <w:numPr>
          <w:ilvl w:val="0"/>
          <w:numId w:val="6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Assessments and exploration t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>ools</w:t>
      </w:r>
    </w:p>
    <w:p w:rsidR="00231A6B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ab/>
      </w:r>
    </w:p>
    <w:p w:rsidR="00846220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b/>
          <w:sz w:val="24"/>
          <w:szCs w:val="24"/>
        </w:rPr>
        <w:t xml:space="preserve">Unit </w:t>
      </w:r>
      <w:r w:rsidR="00016201" w:rsidRPr="00F8002D">
        <w:rPr>
          <w:rFonts w:ascii="Tw Cen MT" w:eastAsia="Calibri" w:hAnsi="Tw Cen MT" w:cs="Times New Roman"/>
          <w:b/>
          <w:sz w:val="24"/>
          <w:szCs w:val="24"/>
        </w:rPr>
        <w:t>1</w:t>
      </w:r>
      <w:r w:rsidRPr="00F8002D">
        <w:rPr>
          <w:rFonts w:ascii="Tw Cen MT" w:eastAsia="Calibri" w:hAnsi="Tw Cen MT" w:cs="Times New Roman"/>
          <w:b/>
          <w:sz w:val="24"/>
          <w:szCs w:val="24"/>
        </w:rPr>
        <w:t>: Produce Your Digital Portfolio</w:t>
      </w:r>
    </w:p>
    <w:p w:rsidR="00231A6B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Inves</w:t>
      </w:r>
      <w:r w:rsidR="009B04D4" w:rsidRPr="00F8002D">
        <w:rPr>
          <w:rFonts w:ascii="Tw Cen MT" w:eastAsia="Calibri" w:hAnsi="Tw Cen MT" w:cs="Times New Roman"/>
          <w:sz w:val="24"/>
          <w:szCs w:val="24"/>
        </w:rPr>
        <w:t xml:space="preserve">tigate and </w:t>
      </w:r>
      <w:r w:rsidR="00846220" w:rsidRPr="00F8002D">
        <w:rPr>
          <w:rFonts w:ascii="Tw Cen MT" w:eastAsia="Calibri" w:hAnsi="Tw Cen MT" w:cs="Times New Roman"/>
          <w:sz w:val="24"/>
          <w:szCs w:val="24"/>
        </w:rPr>
        <w:t>explore pathways after high s</w:t>
      </w:r>
      <w:r w:rsidR="009B04D4" w:rsidRPr="00F8002D">
        <w:rPr>
          <w:rFonts w:ascii="Tw Cen MT" w:eastAsia="Calibri" w:hAnsi="Tw Cen MT" w:cs="Times New Roman"/>
          <w:sz w:val="24"/>
          <w:szCs w:val="24"/>
        </w:rPr>
        <w:t>chool</w:t>
      </w:r>
    </w:p>
    <w:p w:rsidR="00231A6B" w:rsidRPr="00F8002D" w:rsidRDefault="00231A6B" w:rsidP="00016201">
      <w:pPr>
        <w:pStyle w:val="ListParagraph"/>
        <w:numPr>
          <w:ilvl w:val="0"/>
          <w:numId w:val="14"/>
        </w:numPr>
        <w:spacing w:after="0" w:line="240" w:lineRule="auto"/>
        <w:rPr>
          <w:rFonts w:ascii="Tw Cen MT" w:eastAsia="Calibri" w:hAnsi="Tw Cen MT" w:cs="Times New Roman"/>
          <w:i/>
          <w:sz w:val="24"/>
          <w:szCs w:val="24"/>
        </w:rPr>
      </w:pPr>
      <w:r w:rsidRPr="00F8002D">
        <w:rPr>
          <w:rFonts w:ascii="Tw Cen MT" w:eastAsia="Calibri" w:hAnsi="Tw Cen MT" w:cs="Times New Roman"/>
          <w:i/>
          <w:sz w:val="24"/>
          <w:szCs w:val="24"/>
        </w:rPr>
        <w:t>Are</w:t>
      </w:r>
      <w:r w:rsidR="009B04D4" w:rsidRPr="00F8002D">
        <w:rPr>
          <w:rFonts w:ascii="Tw Cen MT" w:eastAsia="Calibri" w:hAnsi="Tw Cen MT" w:cs="Times New Roman"/>
          <w:i/>
          <w:sz w:val="24"/>
          <w:szCs w:val="24"/>
        </w:rPr>
        <w:t xml:space="preserve"> you prepared for WORK</w:t>
      </w:r>
      <w:r w:rsidRPr="00F8002D">
        <w:rPr>
          <w:rFonts w:ascii="Tw Cen MT" w:eastAsia="Calibri" w:hAnsi="Tw Cen MT" w:cs="Times New Roman"/>
          <w:i/>
          <w:sz w:val="24"/>
          <w:szCs w:val="24"/>
        </w:rPr>
        <w:t>?</w:t>
      </w:r>
    </w:p>
    <w:p w:rsidR="00846220" w:rsidRPr="00F8002D" w:rsidRDefault="00880058" w:rsidP="00846220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Job and c</w:t>
      </w:r>
      <w:r w:rsidR="00846220" w:rsidRPr="00F8002D">
        <w:rPr>
          <w:rFonts w:ascii="Tw Cen MT" w:eastAsia="Calibri" w:hAnsi="Tw Cen MT" w:cs="Times New Roman"/>
          <w:sz w:val="24"/>
          <w:szCs w:val="24"/>
        </w:rPr>
        <w:t>areer</w:t>
      </w:r>
      <w:r w:rsidRPr="00F8002D">
        <w:rPr>
          <w:rFonts w:ascii="Tw Cen MT" w:eastAsia="Calibri" w:hAnsi="Tw Cen MT" w:cs="Times New Roman"/>
          <w:sz w:val="24"/>
          <w:szCs w:val="24"/>
        </w:rPr>
        <w:t xml:space="preserve"> e</w:t>
      </w:r>
      <w:r w:rsidR="00846220" w:rsidRPr="00F8002D">
        <w:rPr>
          <w:rFonts w:ascii="Tw Cen MT" w:eastAsia="Calibri" w:hAnsi="Tw Cen MT" w:cs="Times New Roman"/>
          <w:sz w:val="24"/>
          <w:szCs w:val="24"/>
        </w:rPr>
        <w:t>xploration</w:t>
      </w:r>
    </w:p>
    <w:p w:rsidR="00231A6B" w:rsidRPr="00F8002D" w:rsidRDefault="00231A6B" w:rsidP="00846220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Resume</w:t>
      </w:r>
    </w:p>
    <w:p w:rsidR="00880058" w:rsidRPr="00F8002D" w:rsidRDefault="00880058" w:rsidP="00880058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Job application</w:t>
      </w:r>
    </w:p>
    <w:p w:rsidR="00231A6B" w:rsidRPr="00F8002D" w:rsidRDefault="00880058" w:rsidP="00846220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Cover l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>etter</w:t>
      </w:r>
    </w:p>
    <w:p w:rsidR="00231A6B" w:rsidRPr="00F8002D" w:rsidRDefault="00231A6B" w:rsidP="00846220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Interview</w:t>
      </w:r>
    </w:p>
    <w:p w:rsidR="00231A6B" w:rsidRPr="00F8002D" w:rsidRDefault="00880058" w:rsidP="00846220">
      <w:pPr>
        <w:pStyle w:val="ListParagraph"/>
        <w:numPr>
          <w:ilvl w:val="0"/>
          <w:numId w:val="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 xml:space="preserve">ACT 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>National Career Readiness Certification</w:t>
      </w:r>
      <w:r w:rsidR="00846220" w:rsidRPr="00F8002D">
        <w:rPr>
          <w:rFonts w:ascii="Tw Cen MT" w:eastAsia="Calibri" w:hAnsi="Tw Cen MT" w:cs="Times New Roman"/>
          <w:sz w:val="24"/>
          <w:szCs w:val="24"/>
        </w:rPr>
        <w:t xml:space="preserve"> (NCRC)</w:t>
      </w:r>
    </w:p>
    <w:p w:rsidR="00231A6B" w:rsidRPr="00F8002D" w:rsidRDefault="00231A6B" w:rsidP="00016201">
      <w:pPr>
        <w:pStyle w:val="ListParagraph"/>
        <w:numPr>
          <w:ilvl w:val="0"/>
          <w:numId w:val="14"/>
        </w:numPr>
        <w:spacing w:after="0" w:line="240" w:lineRule="auto"/>
        <w:rPr>
          <w:rFonts w:ascii="Tw Cen MT" w:eastAsia="Calibri" w:hAnsi="Tw Cen MT" w:cs="Times New Roman"/>
          <w:i/>
          <w:sz w:val="24"/>
          <w:szCs w:val="24"/>
        </w:rPr>
      </w:pPr>
      <w:r w:rsidRPr="00F8002D">
        <w:rPr>
          <w:rFonts w:ascii="Tw Cen MT" w:eastAsia="Calibri" w:hAnsi="Tw Cen MT" w:cs="Times New Roman"/>
          <w:i/>
          <w:sz w:val="24"/>
          <w:szCs w:val="24"/>
        </w:rPr>
        <w:t xml:space="preserve">Are you prepared for </w:t>
      </w:r>
      <w:r w:rsidR="0070474D" w:rsidRPr="00F8002D">
        <w:rPr>
          <w:rFonts w:ascii="Tw Cen MT" w:eastAsia="Calibri" w:hAnsi="Tw Cen MT" w:cs="Times New Roman"/>
          <w:i/>
          <w:sz w:val="24"/>
          <w:szCs w:val="24"/>
        </w:rPr>
        <w:t>EDUCATION</w:t>
      </w:r>
      <w:r w:rsidRPr="00F8002D">
        <w:rPr>
          <w:rFonts w:ascii="Tw Cen MT" w:eastAsia="Calibri" w:hAnsi="Tw Cen MT" w:cs="Times New Roman"/>
          <w:i/>
          <w:sz w:val="24"/>
          <w:szCs w:val="24"/>
        </w:rPr>
        <w:t>?</w:t>
      </w:r>
    </w:p>
    <w:p w:rsidR="00846220" w:rsidRPr="00F8002D" w:rsidRDefault="00880058" w:rsidP="00846220">
      <w:pPr>
        <w:pStyle w:val="ListParagraph"/>
        <w:numPr>
          <w:ilvl w:val="0"/>
          <w:numId w:val="5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College and training e</w:t>
      </w:r>
      <w:r w:rsidR="00846220" w:rsidRPr="00F8002D">
        <w:rPr>
          <w:rFonts w:ascii="Tw Cen MT" w:eastAsia="Calibri" w:hAnsi="Tw Cen MT" w:cs="Times New Roman"/>
          <w:sz w:val="24"/>
          <w:szCs w:val="24"/>
        </w:rPr>
        <w:t>xploration</w:t>
      </w:r>
    </w:p>
    <w:p w:rsidR="00880058" w:rsidRPr="00F8002D" w:rsidRDefault="00880058" w:rsidP="00846220">
      <w:pPr>
        <w:pStyle w:val="ListParagraph"/>
        <w:numPr>
          <w:ilvl w:val="0"/>
          <w:numId w:val="5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College application</w:t>
      </w:r>
    </w:p>
    <w:p w:rsidR="00880058" w:rsidRPr="00F8002D" w:rsidRDefault="00880058" w:rsidP="00880058">
      <w:pPr>
        <w:pStyle w:val="ListParagraph"/>
        <w:numPr>
          <w:ilvl w:val="0"/>
          <w:numId w:val="5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Free Application for Federal Student Aid (FAFSA)</w:t>
      </w:r>
    </w:p>
    <w:p w:rsidR="00231A6B" w:rsidRPr="00F8002D" w:rsidRDefault="00231A6B" w:rsidP="00846220">
      <w:pPr>
        <w:pStyle w:val="ListParagraph"/>
        <w:numPr>
          <w:ilvl w:val="0"/>
          <w:numId w:val="5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Scholarship application</w:t>
      </w:r>
    </w:p>
    <w:p w:rsidR="00231A6B" w:rsidRPr="00F8002D" w:rsidRDefault="009B04D4" w:rsidP="00016201">
      <w:pPr>
        <w:pStyle w:val="ListParagraph"/>
        <w:numPr>
          <w:ilvl w:val="0"/>
          <w:numId w:val="14"/>
        </w:numPr>
        <w:spacing w:after="0" w:line="240" w:lineRule="auto"/>
        <w:rPr>
          <w:rFonts w:ascii="Tw Cen MT" w:eastAsia="Calibri" w:hAnsi="Tw Cen MT" w:cs="Times New Roman"/>
          <w:i/>
          <w:sz w:val="24"/>
          <w:szCs w:val="24"/>
        </w:rPr>
      </w:pPr>
      <w:r w:rsidRPr="00F8002D">
        <w:rPr>
          <w:rFonts w:ascii="Tw Cen MT" w:eastAsia="Calibri" w:hAnsi="Tw Cen MT" w:cs="Times New Roman"/>
          <w:i/>
          <w:sz w:val="24"/>
          <w:szCs w:val="24"/>
        </w:rPr>
        <w:t xml:space="preserve">Are you prepared for </w:t>
      </w:r>
      <w:r w:rsidR="0070474D" w:rsidRPr="00F8002D">
        <w:rPr>
          <w:rFonts w:ascii="Tw Cen MT" w:eastAsia="Calibri" w:hAnsi="Tw Cen MT" w:cs="Times New Roman"/>
          <w:i/>
          <w:sz w:val="24"/>
          <w:szCs w:val="24"/>
        </w:rPr>
        <w:t>LIFE</w:t>
      </w:r>
      <w:r w:rsidR="00231A6B" w:rsidRPr="00F8002D">
        <w:rPr>
          <w:rFonts w:ascii="Tw Cen MT" w:eastAsia="Calibri" w:hAnsi="Tw Cen MT" w:cs="Times New Roman"/>
          <w:i/>
          <w:sz w:val="24"/>
          <w:szCs w:val="24"/>
        </w:rPr>
        <w:t>?</w:t>
      </w:r>
    </w:p>
    <w:p w:rsidR="00231A6B" w:rsidRPr="00F8002D" w:rsidRDefault="00880058" w:rsidP="00880058">
      <w:pPr>
        <w:pStyle w:val="ListParagraph"/>
        <w:numPr>
          <w:ilvl w:val="0"/>
          <w:numId w:val="9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Budget</w:t>
      </w:r>
      <w:r w:rsidR="0070474D" w:rsidRPr="00F8002D">
        <w:rPr>
          <w:rFonts w:ascii="Tw Cen MT" w:eastAsia="Calibri" w:hAnsi="Tw Cen MT" w:cs="Times New Roman"/>
          <w:sz w:val="24"/>
          <w:szCs w:val="24"/>
        </w:rPr>
        <w:t xml:space="preserve"> for financial well-being</w:t>
      </w:r>
    </w:p>
    <w:p w:rsidR="0070474D" w:rsidRPr="00F8002D" w:rsidRDefault="0070474D" w:rsidP="00880058">
      <w:pPr>
        <w:pStyle w:val="ListParagraph"/>
        <w:numPr>
          <w:ilvl w:val="0"/>
          <w:numId w:val="9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Civic and social responsibility</w:t>
      </w:r>
    </w:p>
    <w:p w:rsidR="003838F0" w:rsidRPr="00F8002D" w:rsidRDefault="003838F0" w:rsidP="00016201">
      <w:pPr>
        <w:pStyle w:val="ListParagraph"/>
        <w:numPr>
          <w:ilvl w:val="0"/>
          <w:numId w:val="1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 xml:space="preserve">Personal 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>Multimedia Presentation</w:t>
      </w:r>
    </w:p>
    <w:p w:rsidR="00016201" w:rsidRPr="00F8002D" w:rsidRDefault="00327CF6" w:rsidP="00016201">
      <w:pPr>
        <w:pStyle w:val="ListParagraph"/>
        <w:numPr>
          <w:ilvl w:val="0"/>
          <w:numId w:val="14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Digital P</w:t>
      </w:r>
      <w:bookmarkStart w:id="0" w:name="_GoBack"/>
      <w:bookmarkEnd w:id="0"/>
      <w:r>
        <w:rPr>
          <w:rFonts w:ascii="Tw Cen MT" w:eastAsia="Calibri" w:hAnsi="Tw Cen MT" w:cs="Times New Roman"/>
          <w:sz w:val="24"/>
          <w:szCs w:val="24"/>
        </w:rPr>
        <w:t>ortfolio s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>elf-evaluation</w:t>
      </w:r>
    </w:p>
    <w:p w:rsidR="00231A6B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</w:p>
    <w:p w:rsidR="00880058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b/>
          <w:sz w:val="24"/>
          <w:szCs w:val="24"/>
        </w:rPr>
      </w:pPr>
      <w:r w:rsidRPr="00F8002D">
        <w:rPr>
          <w:rFonts w:ascii="Tw Cen MT" w:eastAsia="Calibri" w:hAnsi="Tw Cen MT" w:cs="Times New Roman"/>
          <w:b/>
          <w:sz w:val="24"/>
          <w:szCs w:val="24"/>
        </w:rPr>
        <w:t xml:space="preserve">Unit </w:t>
      </w:r>
      <w:r w:rsidR="00016201" w:rsidRPr="00F8002D">
        <w:rPr>
          <w:rFonts w:ascii="Tw Cen MT" w:eastAsia="Calibri" w:hAnsi="Tw Cen MT" w:cs="Times New Roman"/>
          <w:b/>
          <w:sz w:val="24"/>
          <w:szCs w:val="24"/>
        </w:rPr>
        <w:t>2</w:t>
      </w:r>
      <w:r w:rsidRPr="00F8002D">
        <w:rPr>
          <w:rFonts w:ascii="Tw Cen MT" w:eastAsia="Calibri" w:hAnsi="Tw Cen MT" w:cs="Times New Roman"/>
          <w:b/>
          <w:sz w:val="24"/>
          <w:szCs w:val="24"/>
        </w:rPr>
        <w:t>: Implement Y</w:t>
      </w:r>
      <w:r w:rsidR="00880058" w:rsidRPr="00F8002D">
        <w:rPr>
          <w:rFonts w:ascii="Tw Cen MT" w:eastAsia="Calibri" w:hAnsi="Tw Cen MT" w:cs="Times New Roman"/>
          <w:b/>
          <w:sz w:val="24"/>
          <w:szCs w:val="24"/>
        </w:rPr>
        <w:t xml:space="preserve">our High School &amp; Beyond Plan </w:t>
      </w:r>
    </w:p>
    <w:p w:rsidR="00231A6B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Take the next steps</w:t>
      </w:r>
    </w:p>
    <w:p w:rsidR="00880058" w:rsidRPr="00F8002D" w:rsidRDefault="008766C1" w:rsidP="00016201">
      <w:pPr>
        <w:pStyle w:val="ListParagraph"/>
        <w:numPr>
          <w:ilvl w:val="0"/>
          <w:numId w:val="12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High School &amp; Beyond Plan</w:t>
      </w:r>
    </w:p>
    <w:p w:rsidR="008D3D97" w:rsidRPr="00F8002D" w:rsidRDefault="008D3D97" w:rsidP="00016201">
      <w:pPr>
        <w:pStyle w:val="ListParagraph"/>
        <w:numPr>
          <w:ilvl w:val="0"/>
          <w:numId w:val="12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Develop a Culminating Project proposal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 xml:space="preserve"> (Proposal Idea)</w:t>
      </w:r>
    </w:p>
    <w:p w:rsidR="008D3D97" w:rsidRPr="00F8002D" w:rsidRDefault="008D3D97" w:rsidP="00016201">
      <w:pPr>
        <w:pStyle w:val="ListParagraph"/>
        <w:numPr>
          <w:ilvl w:val="0"/>
          <w:numId w:val="12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Develop Culminating Project action plan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 xml:space="preserve"> (Proposed Action Plan)</w:t>
      </w:r>
    </w:p>
    <w:p w:rsidR="00231A6B" w:rsidRPr="00F8002D" w:rsidRDefault="008D3D97" w:rsidP="00016201">
      <w:pPr>
        <w:pStyle w:val="ListParagraph"/>
        <w:numPr>
          <w:ilvl w:val="0"/>
          <w:numId w:val="12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Approval of Culminating Project plan</w:t>
      </w:r>
      <w:r w:rsidR="00016201" w:rsidRPr="00F8002D">
        <w:rPr>
          <w:rFonts w:ascii="Tw Cen MT" w:eastAsia="Calibri" w:hAnsi="Tw Cen MT" w:cs="Times New Roman"/>
          <w:sz w:val="24"/>
          <w:szCs w:val="24"/>
        </w:rPr>
        <w:t xml:space="preserve"> (Proposal Sign-off)</w:t>
      </w:r>
    </w:p>
    <w:p w:rsidR="0070474D" w:rsidRPr="00F8002D" w:rsidRDefault="00327CF6" w:rsidP="00016201">
      <w:pPr>
        <w:pStyle w:val="ListParagraph"/>
        <w:numPr>
          <w:ilvl w:val="0"/>
          <w:numId w:val="12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High School &amp; Beyond Plan s</w:t>
      </w:r>
      <w:r w:rsidR="0070474D" w:rsidRPr="00F8002D">
        <w:rPr>
          <w:rFonts w:ascii="Tw Cen MT" w:eastAsia="Calibri" w:hAnsi="Tw Cen MT" w:cs="Times New Roman"/>
          <w:sz w:val="24"/>
          <w:szCs w:val="24"/>
        </w:rPr>
        <w:t>elf-evaluation</w:t>
      </w:r>
    </w:p>
    <w:p w:rsidR="00231A6B" w:rsidRPr="00F8002D" w:rsidRDefault="00231A6B" w:rsidP="00317F46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ab/>
      </w:r>
    </w:p>
    <w:p w:rsidR="00317F46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b/>
          <w:sz w:val="24"/>
          <w:szCs w:val="24"/>
        </w:rPr>
      </w:pPr>
      <w:r w:rsidRPr="00F8002D">
        <w:rPr>
          <w:rFonts w:ascii="Tw Cen MT" w:eastAsia="Calibri" w:hAnsi="Tw Cen MT" w:cs="Times New Roman"/>
          <w:b/>
          <w:sz w:val="24"/>
          <w:szCs w:val="24"/>
        </w:rPr>
        <w:t xml:space="preserve">Unit </w:t>
      </w:r>
      <w:r w:rsidR="00016201" w:rsidRPr="00F8002D">
        <w:rPr>
          <w:rFonts w:ascii="Tw Cen MT" w:eastAsia="Calibri" w:hAnsi="Tw Cen MT" w:cs="Times New Roman"/>
          <w:b/>
          <w:sz w:val="24"/>
          <w:szCs w:val="24"/>
        </w:rPr>
        <w:t>3</w:t>
      </w:r>
      <w:r w:rsidRPr="00F8002D">
        <w:rPr>
          <w:rFonts w:ascii="Tw Cen MT" w:eastAsia="Calibri" w:hAnsi="Tw Cen MT" w:cs="Times New Roman"/>
          <w:b/>
          <w:sz w:val="24"/>
          <w:szCs w:val="24"/>
        </w:rPr>
        <w:t>: Su</w:t>
      </w:r>
      <w:r w:rsidR="00317F46" w:rsidRPr="00F8002D">
        <w:rPr>
          <w:rFonts w:ascii="Tw Cen MT" w:eastAsia="Calibri" w:hAnsi="Tw Cen MT" w:cs="Times New Roman"/>
          <w:b/>
          <w:sz w:val="24"/>
          <w:szCs w:val="24"/>
        </w:rPr>
        <w:t xml:space="preserve">bmit Your Culminating Project </w:t>
      </w:r>
    </w:p>
    <w:p w:rsidR="00231A6B" w:rsidRPr="00F8002D" w:rsidRDefault="00231A6B" w:rsidP="00846220">
      <w:pPr>
        <w:spacing w:after="0" w:line="240" w:lineRule="auto"/>
        <w:ind w:left="360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Display your skills</w:t>
      </w:r>
    </w:p>
    <w:p w:rsidR="008D3D97" w:rsidRPr="00F8002D" w:rsidRDefault="008D3D97" w:rsidP="00016201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Reflective log</w:t>
      </w:r>
    </w:p>
    <w:p w:rsidR="00231A6B" w:rsidRPr="00F8002D" w:rsidRDefault="00317F46" w:rsidP="00016201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Research l</w:t>
      </w:r>
      <w:r w:rsidR="00231A6B" w:rsidRPr="00F8002D">
        <w:rPr>
          <w:rFonts w:ascii="Tw Cen MT" w:eastAsia="Calibri" w:hAnsi="Tw Cen MT" w:cs="Times New Roman"/>
          <w:sz w:val="24"/>
          <w:szCs w:val="24"/>
        </w:rPr>
        <w:t xml:space="preserve">og </w:t>
      </w:r>
    </w:p>
    <w:p w:rsidR="0070474D" w:rsidRPr="00F8002D" w:rsidRDefault="00317F46" w:rsidP="00016201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 w:rsidRPr="00F8002D">
        <w:rPr>
          <w:rFonts w:ascii="Tw Cen MT" w:eastAsia="Calibri" w:hAnsi="Tw Cen MT" w:cs="Times New Roman"/>
          <w:sz w:val="24"/>
          <w:szCs w:val="24"/>
        </w:rPr>
        <w:t>Completion of Culminating Project</w:t>
      </w:r>
    </w:p>
    <w:p w:rsidR="006815C6" w:rsidRPr="00F8002D" w:rsidRDefault="00327CF6" w:rsidP="00F8002D">
      <w:pPr>
        <w:pStyle w:val="ListParagraph"/>
        <w:numPr>
          <w:ilvl w:val="0"/>
          <w:numId w:val="13"/>
        </w:numPr>
        <w:spacing w:after="0" w:line="240" w:lineRule="auto"/>
        <w:rPr>
          <w:rFonts w:ascii="Tw Cen MT" w:eastAsia="Calibri" w:hAnsi="Tw Cen MT" w:cs="Times New Roman"/>
          <w:sz w:val="24"/>
          <w:szCs w:val="24"/>
        </w:rPr>
      </w:pPr>
      <w:r>
        <w:rPr>
          <w:rFonts w:ascii="Tw Cen MT" w:eastAsia="Calibri" w:hAnsi="Tw Cen MT" w:cs="Times New Roman"/>
          <w:sz w:val="24"/>
          <w:szCs w:val="24"/>
        </w:rPr>
        <w:t>Post-Culminating P</w:t>
      </w:r>
      <w:r w:rsidR="003838F0" w:rsidRPr="00F8002D">
        <w:rPr>
          <w:rFonts w:ascii="Tw Cen MT" w:eastAsia="Calibri" w:hAnsi="Tw Cen MT" w:cs="Times New Roman"/>
          <w:sz w:val="24"/>
          <w:szCs w:val="24"/>
        </w:rPr>
        <w:t>roject s</w:t>
      </w:r>
      <w:r w:rsidR="0070474D" w:rsidRPr="00F8002D">
        <w:rPr>
          <w:rFonts w:ascii="Tw Cen MT" w:eastAsia="Calibri" w:hAnsi="Tw Cen MT" w:cs="Times New Roman"/>
          <w:sz w:val="24"/>
          <w:szCs w:val="24"/>
        </w:rPr>
        <w:t>elf-evaluation</w:t>
      </w:r>
      <w:r w:rsidR="006815C6" w:rsidRPr="00F8002D">
        <w:rPr>
          <w:rFonts w:ascii="Tw Cen MT" w:hAnsi="Tw Cen MT"/>
          <w:b/>
          <w:sz w:val="24"/>
          <w:szCs w:val="24"/>
        </w:rPr>
        <w:br w:type="page"/>
      </w:r>
    </w:p>
    <w:p w:rsidR="00F56A75" w:rsidRPr="00F8002D" w:rsidRDefault="008766C1" w:rsidP="008766C1">
      <w:pPr>
        <w:rPr>
          <w:rFonts w:ascii="Tw Cen MT" w:hAnsi="Tw Cen MT"/>
          <w:b/>
          <w:sz w:val="24"/>
          <w:szCs w:val="24"/>
        </w:rPr>
      </w:pPr>
      <w:r w:rsidRPr="00F8002D">
        <w:rPr>
          <w:rFonts w:ascii="Tw Cen MT" w:hAnsi="Tw Cen MT"/>
          <w:b/>
          <w:sz w:val="24"/>
          <w:szCs w:val="24"/>
        </w:rPr>
        <w:lastRenderedPageBreak/>
        <w:t>Grading</w:t>
      </w:r>
    </w:p>
    <w:p w:rsidR="00F8002D" w:rsidRPr="00F8002D" w:rsidRDefault="00F56A75" w:rsidP="008766C1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 xml:space="preserve">Students and parents can access grades online through the LMS system.  For information or to log in, go to </w:t>
      </w:r>
      <w:hyperlink r:id="rId12" w:history="1">
        <w:r w:rsidRPr="00F8002D">
          <w:rPr>
            <w:rStyle w:val="Hyperlink"/>
            <w:rFonts w:ascii="Tw Cen MT" w:hAnsi="Tw Cen MT"/>
            <w:sz w:val="24"/>
            <w:szCs w:val="24"/>
          </w:rPr>
          <w:t>http://lmsinfo.everettsd.org</w:t>
        </w:r>
      </w:hyperlink>
      <w:r w:rsidRPr="00F8002D">
        <w:rPr>
          <w:rFonts w:ascii="Tw Cen MT" w:hAnsi="Tw Cen MT"/>
          <w:sz w:val="24"/>
          <w:szCs w:val="24"/>
        </w:rPr>
        <w:t xml:space="preserve">.  </w:t>
      </w:r>
    </w:p>
    <w:p w:rsidR="00F56A75" w:rsidRPr="00F8002D" w:rsidRDefault="00F56A75" w:rsidP="008766C1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 xml:space="preserve">This course will be assessed on a 100 point standard grading scale (LMS X Course Grading Scale).  </w:t>
      </w:r>
      <w:r w:rsidR="00F8002D" w:rsidRPr="00F8002D">
        <w:rPr>
          <w:rFonts w:ascii="Tw Cen MT" w:hAnsi="Tw Cen MT"/>
          <w:sz w:val="24"/>
          <w:szCs w:val="24"/>
        </w:rPr>
        <w:t>Points</w:t>
      </w:r>
      <w:r w:rsidRPr="00F8002D">
        <w:rPr>
          <w:rFonts w:ascii="Tw Cen MT" w:hAnsi="Tw Cen MT"/>
          <w:sz w:val="24"/>
          <w:szCs w:val="24"/>
        </w:rPr>
        <w:t xml:space="preserve"> are determined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9"/>
        <w:gridCol w:w="1394"/>
      </w:tblGrid>
      <w:tr w:rsidR="00F56A75" w:rsidRPr="00F8002D" w:rsidTr="00F8002D">
        <w:trPr>
          <w:trHeight w:val="547"/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8002D">
              <w:rPr>
                <w:rFonts w:ascii="Tw Cen MT" w:hAnsi="Tw Cen MT"/>
                <w:b/>
                <w:sz w:val="24"/>
                <w:szCs w:val="24"/>
              </w:rPr>
              <w:t>Digital Portfolio</w:t>
            </w:r>
          </w:p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Completion of fourteen Digital Portfolio assignments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20 points</w:t>
            </w:r>
          </w:p>
        </w:tc>
      </w:tr>
      <w:tr w:rsidR="00F56A75" w:rsidRPr="00F8002D" w:rsidTr="00F8002D">
        <w:trPr>
          <w:trHeight w:val="547"/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8002D">
              <w:rPr>
                <w:rFonts w:ascii="Tw Cen MT" w:hAnsi="Tw Cen MT"/>
                <w:b/>
                <w:sz w:val="24"/>
                <w:szCs w:val="24"/>
              </w:rPr>
              <w:t>High School &amp; Beyond Plan</w:t>
            </w:r>
          </w:p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Completion of five High School &amp; Beyond assignments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20 points</w:t>
            </w:r>
          </w:p>
        </w:tc>
      </w:tr>
      <w:tr w:rsidR="00F56A75" w:rsidRPr="00F8002D" w:rsidTr="00F8002D">
        <w:trPr>
          <w:trHeight w:val="547"/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8002D">
              <w:rPr>
                <w:rFonts w:ascii="Tw Cen MT" w:hAnsi="Tw Cen MT"/>
                <w:b/>
                <w:sz w:val="24"/>
                <w:szCs w:val="24"/>
              </w:rPr>
              <w:t>Culminating Project</w:t>
            </w:r>
          </w:p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Completion of four Culminating Project assignments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20 points</w:t>
            </w:r>
          </w:p>
        </w:tc>
      </w:tr>
      <w:tr w:rsidR="00F56A75" w:rsidRPr="00F8002D" w:rsidTr="00F8002D">
        <w:trPr>
          <w:trHeight w:val="782"/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8002D">
              <w:rPr>
                <w:rFonts w:ascii="Tw Cen MT" w:hAnsi="Tw Cen MT"/>
                <w:b/>
                <w:sz w:val="24"/>
                <w:szCs w:val="24"/>
              </w:rPr>
              <w:t>Assessment of 21</w:t>
            </w:r>
            <w:r w:rsidRPr="00F8002D">
              <w:rPr>
                <w:rFonts w:ascii="Tw Cen MT" w:hAnsi="Tw Cen MT"/>
                <w:b/>
                <w:sz w:val="24"/>
                <w:szCs w:val="24"/>
                <w:vertAlign w:val="superscript"/>
              </w:rPr>
              <w:t>st</w:t>
            </w:r>
            <w:r w:rsidRPr="00F8002D">
              <w:rPr>
                <w:rFonts w:ascii="Tw Cen MT" w:hAnsi="Tw Cen MT"/>
                <w:b/>
                <w:sz w:val="24"/>
                <w:szCs w:val="24"/>
              </w:rPr>
              <w:t xml:space="preserve"> Century Skills</w:t>
            </w:r>
          </w:p>
          <w:p w:rsidR="00F56A75" w:rsidRPr="00F8002D" w:rsidRDefault="00562F2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Traits listed below</w:t>
            </w:r>
            <w:r w:rsidR="00F56A75" w:rsidRPr="00F8002D">
              <w:rPr>
                <w:rFonts w:ascii="Tw Cen MT" w:hAnsi="Tw Cen MT"/>
                <w:sz w:val="24"/>
                <w:szCs w:val="24"/>
              </w:rPr>
              <w:t xml:space="preserve"> included in the Senior Seminar 21</w:t>
            </w:r>
            <w:r w:rsidR="00F56A75" w:rsidRPr="00F8002D">
              <w:rPr>
                <w:rFonts w:ascii="Tw Cen MT" w:hAnsi="Tw Cen MT"/>
                <w:sz w:val="24"/>
                <w:szCs w:val="24"/>
                <w:vertAlign w:val="superscript"/>
              </w:rPr>
              <w:t>st</w:t>
            </w:r>
            <w:r w:rsidR="00F56A75" w:rsidRPr="00F8002D">
              <w:rPr>
                <w:rFonts w:ascii="Tw Cen MT" w:hAnsi="Tw Cen MT"/>
                <w:sz w:val="24"/>
                <w:szCs w:val="24"/>
              </w:rPr>
              <w:t xml:space="preserve"> Century Skills rubric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56A75" w:rsidRPr="00F8002D" w:rsidTr="00F8002D">
        <w:trPr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ind w:left="72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Self-Direction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Advanced – 20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Proficient – 16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Basic – 12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 xml:space="preserve">Novice – 8 points 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20 points</w:t>
            </w:r>
          </w:p>
        </w:tc>
      </w:tr>
      <w:tr w:rsidR="00F56A75" w:rsidRPr="00F8002D" w:rsidTr="00F8002D">
        <w:trPr>
          <w:jc w:val="center"/>
        </w:trPr>
        <w:tc>
          <w:tcPr>
            <w:tcW w:w="5279" w:type="dxa"/>
            <w:vAlign w:val="center"/>
          </w:tcPr>
          <w:p w:rsidR="00F56A75" w:rsidRPr="00F8002D" w:rsidRDefault="00F56A75" w:rsidP="00F8002D">
            <w:pPr>
              <w:ind w:left="72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Digital Communication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Advanced – 10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Proficient – 8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Basic – 6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Novice – 4 points</w:t>
            </w:r>
          </w:p>
        </w:tc>
        <w:tc>
          <w:tcPr>
            <w:tcW w:w="1394" w:type="dxa"/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10 points</w:t>
            </w:r>
          </w:p>
        </w:tc>
      </w:tr>
      <w:tr w:rsidR="00F56A75" w:rsidRPr="00F8002D" w:rsidTr="00F8002D">
        <w:trPr>
          <w:jc w:val="center"/>
        </w:trPr>
        <w:tc>
          <w:tcPr>
            <w:tcW w:w="5279" w:type="dxa"/>
            <w:tcBorders>
              <w:bottom w:val="double" w:sz="4" w:space="0" w:color="auto"/>
            </w:tcBorders>
            <w:vAlign w:val="center"/>
          </w:tcPr>
          <w:p w:rsidR="00F56A75" w:rsidRPr="00F8002D" w:rsidRDefault="00CE2651" w:rsidP="00F8002D">
            <w:pPr>
              <w:ind w:left="7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P</w:t>
            </w:r>
            <w:r w:rsidR="00E773AF">
              <w:rPr>
                <w:rFonts w:ascii="Tw Cen MT" w:hAnsi="Tw Cen MT"/>
                <w:sz w:val="24"/>
                <w:szCs w:val="24"/>
              </w:rPr>
              <w:t xml:space="preserve">roblem </w:t>
            </w:r>
            <w:r>
              <w:rPr>
                <w:rFonts w:ascii="Tw Cen MT" w:hAnsi="Tw Cen MT"/>
                <w:sz w:val="24"/>
                <w:szCs w:val="24"/>
              </w:rPr>
              <w:t>Solving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Advanced – 10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Proficient – 8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Basic – 6 points</w:t>
            </w:r>
          </w:p>
          <w:p w:rsidR="006815C6" w:rsidRPr="00F8002D" w:rsidRDefault="006815C6" w:rsidP="00F8002D">
            <w:pPr>
              <w:ind w:left="1440"/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Novice – 4 points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F56A75" w:rsidRPr="00F8002D" w:rsidRDefault="00F56A7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10 points</w:t>
            </w:r>
          </w:p>
        </w:tc>
      </w:tr>
      <w:tr w:rsidR="00F56A75" w:rsidRPr="00F8002D" w:rsidTr="00F8002D">
        <w:trPr>
          <w:trHeight w:val="402"/>
          <w:jc w:val="center"/>
        </w:trPr>
        <w:tc>
          <w:tcPr>
            <w:tcW w:w="5279" w:type="dxa"/>
            <w:tcBorders>
              <w:top w:val="double" w:sz="4" w:space="0" w:color="auto"/>
            </w:tcBorders>
            <w:vAlign w:val="center"/>
          </w:tcPr>
          <w:p w:rsidR="00F56A75" w:rsidRPr="00F8002D" w:rsidRDefault="00562F25" w:rsidP="002E027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F8002D">
              <w:rPr>
                <w:rFonts w:ascii="Tw Cen MT" w:hAnsi="Tw Cen MT"/>
                <w:b/>
                <w:sz w:val="24"/>
                <w:szCs w:val="24"/>
              </w:rPr>
              <w:t xml:space="preserve">Senior Seminar Course </w:t>
            </w:r>
            <w:r w:rsidR="002E0278">
              <w:rPr>
                <w:rFonts w:ascii="Tw Cen MT" w:hAnsi="Tw Cen MT"/>
                <w:b/>
                <w:sz w:val="24"/>
                <w:szCs w:val="24"/>
              </w:rPr>
              <w:t>Points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F56A75" w:rsidRPr="00F8002D" w:rsidRDefault="00562F25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100 points</w:t>
            </w:r>
          </w:p>
        </w:tc>
      </w:tr>
    </w:tbl>
    <w:p w:rsidR="00F8002D" w:rsidRPr="00F8002D" w:rsidRDefault="00F8002D" w:rsidP="006D585B">
      <w:pPr>
        <w:rPr>
          <w:rFonts w:ascii="Tw Cen MT" w:hAnsi="Tw Cen MT"/>
          <w:sz w:val="6"/>
          <w:szCs w:val="24"/>
        </w:rPr>
      </w:pPr>
    </w:p>
    <w:p w:rsidR="006D585B" w:rsidRPr="00F8002D" w:rsidRDefault="006D585B" w:rsidP="006D585B">
      <w:pPr>
        <w:rPr>
          <w:rFonts w:ascii="Tw Cen MT" w:hAnsi="Tw Cen MT"/>
          <w:sz w:val="24"/>
          <w:szCs w:val="24"/>
        </w:rPr>
      </w:pPr>
      <w:r w:rsidRPr="00F8002D">
        <w:rPr>
          <w:rFonts w:ascii="Tw Cen MT" w:hAnsi="Tw Cen MT"/>
          <w:sz w:val="24"/>
          <w:szCs w:val="24"/>
        </w:rPr>
        <w:t>The following scale is</w:t>
      </w:r>
      <w:r w:rsidR="002E0278">
        <w:rPr>
          <w:rFonts w:ascii="Tw Cen MT" w:hAnsi="Tw Cen MT"/>
          <w:sz w:val="24"/>
          <w:szCs w:val="24"/>
        </w:rPr>
        <w:t xml:space="preserve"> used to </w:t>
      </w:r>
      <w:r w:rsidRPr="00F8002D">
        <w:rPr>
          <w:rFonts w:ascii="Tw Cen MT" w:hAnsi="Tw Cen MT"/>
          <w:sz w:val="24"/>
          <w:szCs w:val="24"/>
        </w:rPr>
        <w:t xml:space="preserve">determine </w:t>
      </w:r>
      <w:r w:rsidR="007939BA">
        <w:rPr>
          <w:rFonts w:ascii="Tw Cen MT" w:hAnsi="Tw Cen MT"/>
          <w:sz w:val="24"/>
          <w:szCs w:val="24"/>
        </w:rPr>
        <w:t xml:space="preserve">course </w:t>
      </w:r>
      <w:r w:rsidRPr="00F8002D">
        <w:rPr>
          <w:rFonts w:ascii="Tw Cen MT" w:hAnsi="Tw Cen MT"/>
          <w:sz w:val="24"/>
          <w:szCs w:val="24"/>
        </w:rPr>
        <w:t>grades:</w:t>
      </w:r>
    </w:p>
    <w:tbl>
      <w:tblPr>
        <w:tblStyle w:val="TableGrid"/>
        <w:tblW w:w="0" w:type="auto"/>
        <w:jc w:val="center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020"/>
        <w:gridCol w:w="1590"/>
        <w:gridCol w:w="1050"/>
        <w:gridCol w:w="1650"/>
        <w:gridCol w:w="522"/>
      </w:tblGrid>
      <w:tr w:rsidR="006D585B" w:rsidRPr="00F8002D" w:rsidTr="00683E64">
        <w:trPr>
          <w:trHeight w:val="523"/>
          <w:jc w:val="center"/>
        </w:trPr>
        <w:tc>
          <w:tcPr>
            <w:tcW w:w="16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100-93 points</w:t>
            </w:r>
          </w:p>
        </w:tc>
        <w:tc>
          <w:tcPr>
            <w:tcW w:w="10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A</w:t>
            </w:r>
          </w:p>
        </w:tc>
        <w:tc>
          <w:tcPr>
            <w:tcW w:w="159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82-80 points</w:t>
            </w:r>
          </w:p>
        </w:tc>
        <w:tc>
          <w:tcPr>
            <w:tcW w:w="10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B-</w:t>
            </w:r>
          </w:p>
        </w:tc>
        <w:tc>
          <w:tcPr>
            <w:tcW w:w="1650" w:type="dxa"/>
          </w:tcPr>
          <w:p w:rsidR="006D585B" w:rsidRPr="00F8002D" w:rsidRDefault="006D585B" w:rsidP="00F8002D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69-67 points</w:t>
            </w:r>
          </w:p>
        </w:tc>
        <w:tc>
          <w:tcPr>
            <w:tcW w:w="495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D+</w:t>
            </w:r>
          </w:p>
        </w:tc>
      </w:tr>
      <w:tr w:rsidR="006D585B" w:rsidRPr="00F8002D" w:rsidTr="00683E64">
        <w:trPr>
          <w:trHeight w:val="523"/>
          <w:jc w:val="center"/>
        </w:trPr>
        <w:tc>
          <w:tcPr>
            <w:tcW w:w="16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92-90 points</w:t>
            </w:r>
          </w:p>
        </w:tc>
        <w:tc>
          <w:tcPr>
            <w:tcW w:w="10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A-</w:t>
            </w:r>
          </w:p>
        </w:tc>
        <w:tc>
          <w:tcPr>
            <w:tcW w:w="159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79-77 points</w:t>
            </w:r>
          </w:p>
        </w:tc>
        <w:tc>
          <w:tcPr>
            <w:tcW w:w="10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C+</w:t>
            </w:r>
          </w:p>
        </w:tc>
        <w:tc>
          <w:tcPr>
            <w:tcW w:w="16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66-60 points</w:t>
            </w:r>
          </w:p>
        </w:tc>
        <w:tc>
          <w:tcPr>
            <w:tcW w:w="495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D</w:t>
            </w:r>
          </w:p>
        </w:tc>
      </w:tr>
      <w:tr w:rsidR="006D585B" w:rsidRPr="00F8002D" w:rsidTr="00683E64">
        <w:trPr>
          <w:trHeight w:val="523"/>
          <w:jc w:val="center"/>
        </w:trPr>
        <w:tc>
          <w:tcPr>
            <w:tcW w:w="16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89-87 points</w:t>
            </w:r>
          </w:p>
        </w:tc>
        <w:tc>
          <w:tcPr>
            <w:tcW w:w="10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B+</w:t>
            </w:r>
          </w:p>
        </w:tc>
        <w:tc>
          <w:tcPr>
            <w:tcW w:w="159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76-73 points</w:t>
            </w:r>
          </w:p>
        </w:tc>
        <w:tc>
          <w:tcPr>
            <w:tcW w:w="10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</w:t>
            </w:r>
          </w:p>
        </w:tc>
        <w:tc>
          <w:tcPr>
            <w:tcW w:w="16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Below 60 points</w:t>
            </w:r>
          </w:p>
        </w:tc>
        <w:tc>
          <w:tcPr>
            <w:tcW w:w="495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F</w:t>
            </w:r>
          </w:p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6D585B" w:rsidRPr="00F8002D" w:rsidTr="00683E64">
        <w:trPr>
          <w:trHeight w:val="523"/>
          <w:jc w:val="center"/>
        </w:trPr>
        <w:tc>
          <w:tcPr>
            <w:tcW w:w="16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86-83 points</w:t>
            </w:r>
          </w:p>
        </w:tc>
        <w:tc>
          <w:tcPr>
            <w:tcW w:w="102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B</w:t>
            </w:r>
          </w:p>
        </w:tc>
        <w:tc>
          <w:tcPr>
            <w:tcW w:w="159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72-70 points</w:t>
            </w:r>
          </w:p>
        </w:tc>
        <w:tc>
          <w:tcPr>
            <w:tcW w:w="10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  <w:r w:rsidRPr="00F8002D">
              <w:rPr>
                <w:rFonts w:ascii="Tw Cen MT" w:hAnsi="Tw Cen MT"/>
                <w:sz w:val="24"/>
                <w:szCs w:val="24"/>
              </w:rPr>
              <w:t>C-</w:t>
            </w:r>
          </w:p>
        </w:tc>
        <w:tc>
          <w:tcPr>
            <w:tcW w:w="1650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95" w:type="dxa"/>
          </w:tcPr>
          <w:p w:rsidR="006D585B" w:rsidRPr="00F8002D" w:rsidRDefault="006D585B" w:rsidP="006D585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231A6B" w:rsidRPr="00F8002D" w:rsidRDefault="00231A6B" w:rsidP="00F8002D">
      <w:pPr>
        <w:rPr>
          <w:rFonts w:ascii="Tw Cen MT" w:hAnsi="Tw Cen MT"/>
          <w:sz w:val="24"/>
          <w:szCs w:val="24"/>
        </w:rPr>
      </w:pPr>
    </w:p>
    <w:sectPr w:rsidR="00231A6B" w:rsidRPr="00F8002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76" w:rsidRDefault="00E34776" w:rsidP="00E34776">
      <w:pPr>
        <w:spacing w:after="0" w:line="240" w:lineRule="auto"/>
      </w:pPr>
      <w:r>
        <w:separator/>
      </w:r>
    </w:p>
  </w:endnote>
  <w:endnote w:type="continuationSeparator" w:id="0">
    <w:p w:rsidR="00E34776" w:rsidRDefault="00E34776" w:rsidP="00E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6815C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815C6" w:rsidRDefault="006815C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815C6" w:rsidRPr="006815C6" w:rsidRDefault="006815C6">
          <w:pPr>
            <w:pStyle w:val="NoSpacing"/>
            <w:rPr>
              <w:rFonts w:ascii="Tw Cen MT" w:eastAsiaTheme="majorEastAsia" w:hAnsi="Tw Cen MT" w:cstheme="majorBidi"/>
            </w:rPr>
          </w:pPr>
          <w:r w:rsidRPr="006815C6">
            <w:rPr>
              <w:rFonts w:ascii="Tw Cen MT" w:eastAsiaTheme="majorEastAsia" w:hAnsi="Tw Cen MT" w:cstheme="majorBidi"/>
              <w:b/>
              <w:bCs/>
            </w:rPr>
            <w:t xml:space="preserve">Page </w:t>
          </w:r>
          <w:r w:rsidRPr="006815C6">
            <w:rPr>
              <w:rFonts w:ascii="Tw Cen MT" w:hAnsi="Tw Cen MT"/>
            </w:rPr>
            <w:fldChar w:fldCharType="begin"/>
          </w:r>
          <w:r w:rsidRPr="006815C6">
            <w:rPr>
              <w:rFonts w:ascii="Tw Cen MT" w:hAnsi="Tw Cen MT"/>
            </w:rPr>
            <w:instrText xml:space="preserve"> PAGE  \* MERGEFORMAT </w:instrText>
          </w:r>
          <w:r w:rsidRPr="006815C6">
            <w:rPr>
              <w:rFonts w:ascii="Tw Cen MT" w:hAnsi="Tw Cen MT"/>
            </w:rPr>
            <w:fldChar w:fldCharType="separate"/>
          </w:r>
          <w:r w:rsidR="00327CF6" w:rsidRPr="00327CF6">
            <w:rPr>
              <w:rFonts w:ascii="Tw Cen MT" w:eastAsiaTheme="majorEastAsia" w:hAnsi="Tw Cen MT" w:cstheme="majorBidi"/>
              <w:b/>
              <w:bCs/>
              <w:noProof/>
            </w:rPr>
            <w:t>2</w:t>
          </w:r>
          <w:r w:rsidRPr="006815C6">
            <w:rPr>
              <w:rFonts w:ascii="Tw Cen MT" w:eastAsiaTheme="majorEastAsia" w:hAnsi="Tw Cen MT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815C6" w:rsidRDefault="006815C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815C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815C6" w:rsidRDefault="006815C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815C6" w:rsidRDefault="006815C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815C6" w:rsidRDefault="006815C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815C6" w:rsidRDefault="00681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76" w:rsidRDefault="00E34776" w:rsidP="00E34776">
      <w:pPr>
        <w:spacing w:after="0" w:line="240" w:lineRule="auto"/>
      </w:pPr>
      <w:r>
        <w:separator/>
      </w:r>
    </w:p>
  </w:footnote>
  <w:footnote w:type="continuationSeparator" w:id="0">
    <w:p w:rsidR="00E34776" w:rsidRDefault="00E34776" w:rsidP="00E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76" w:rsidRPr="00FA4480" w:rsidRDefault="00E34776" w:rsidP="00E34776">
    <w:pPr>
      <w:pStyle w:val="Header"/>
      <w:jc w:val="center"/>
      <w:rPr>
        <w:rFonts w:ascii="Tw Cen MT" w:hAnsi="Tw Cen MT"/>
        <w:sz w:val="32"/>
      </w:rPr>
    </w:pPr>
    <w:r w:rsidRPr="00FA4480">
      <w:rPr>
        <w:rFonts w:ascii="Tw Cen MT" w:hAnsi="Tw Cen MT"/>
        <w:sz w:val="32"/>
      </w:rPr>
      <w:t>Senior Seminar</w:t>
    </w:r>
    <w:r w:rsidR="006815C6" w:rsidRPr="00FA4480">
      <w:rPr>
        <w:rFonts w:ascii="Tw Cen MT" w:hAnsi="Tw Cen MT"/>
        <w:sz w:val="32"/>
      </w:rPr>
      <w:t xml:space="preserve"> Course Syllabus</w:t>
    </w:r>
  </w:p>
  <w:p w:rsidR="00FA4480" w:rsidRDefault="00FA4480" w:rsidP="00E35DF6">
    <w:pPr>
      <w:pStyle w:val="Header"/>
      <w:jc w:val="center"/>
      <w:rPr>
        <w:rFonts w:ascii="Tw Cen MT" w:hAnsi="Tw Cen MT"/>
        <w:i/>
      </w:rPr>
    </w:pPr>
    <w:r>
      <w:rPr>
        <w:rFonts w:ascii="Tw Cen MT" w:hAnsi="Tw Cen MT"/>
        <w:i/>
      </w:rPr>
      <w:t xml:space="preserve">Everett Public Schools </w:t>
    </w:r>
    <w:r w:rsidR="00E34776" w:rsidRPr="006815C6">
      <w:rPr>
        <w:rFonts w:ascii="Tw Cen MT" w:hAnsi="Tw Cen MT"/>
        <w:i/>
      </w:rPr>
      <w:t xml:space="preserve">High School Course </w:t>
    </w:r>
  </w:p>
  <w:p w:rsidR="00E35DF6" w:rsidRDefault="00E34776" w:rsidP="00E35DF6">
    <w:pPr>
      <w:pStyle w:val="Header"/>
      <w:jc w:val="center"/>
      <w:rPr>
        <w:rFonts w:ascii="Tw Cen MT" w:hAnsi="Tw Cen MT"/>
        <w:i/>
      </w:rPr>
    </w:pPr>
    <w:proofErr w:type="gramStart"/>
    <w:r w:rsidRPr="006815C6">
      <w:rPr>
        <w:rFonts w:ascii="Tw Cen MT" w:hAnsi="Tw Cen MT"/>
        <w:i/>
      </w:rPr>
      <w:t>for</w:t>
    </w:r>
    <w:proofErr w:type="gramEnd"/>
    <w:r w:rsidRPr="006815C6">
      <w:rPr>
        <w:rFonts w:ascii="Tw Cen MT" w:hAnsi="Tw Cen MT"/>
        <w:i/>
      </w:rPr>
      <w:t xml:space="preserve"> the Development and Completion of the Culminating Exhibition</w:t>
    </w:r>
  </w:p>
  <w:p w:rsidR="00FA4480" w:rsidRPr="006815C6" w:rsidRDefault="00FA4480" w:rsidP="00E35DF6">
    <w:pPr>
      <w:pStyle w:val="Header"/>
      <w:jc w:val="center"/>
      <w:rPr>
        <w:rFonts w:ascii="Tw Cen MT" w:hAnsi="Tw Cen MT"/>
        <w:i/>
      </w:rPr>
    </w:pPr>
  </w:p>
  <w:p w:rsidR="00E34776" w:rsidRDefault="00E34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93E"/>
    <w:multiLevelType w:val="hybridMultilevel"/>
    <w:tmpl w:val="69B24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90B6C"/>
    <w:multiLevelType w:val="hybridMultilevel"/>
    <w:tmpl w:val="CA56B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AD8"/>
    <w:multiLevelType w:val="hybridMultilevel"/>
    <w:tmpl w:val="ED30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94612"/>
    <w:multiLevelType w:val="hybridMultilevel"/>
    <w:tmpl w:val="CFC2D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15970"/>
    <w:multiLevelType w:val="hybridMultilevel"/>
    <w:tmpl w:val="2EB2CF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D53C27"/>
    <w:multiLevelType w:val="hybridMultilevel"/>
    <w:tmpl w:val="CE24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37ACC"/>
    <w:multiLevelType w:val="hybridMultilevel"/>
    <w:tmpl w:val="6700D1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92C66"/>
    <w:multiLevelType w:val="hybridMultilevel"/>
    <w:tmpl w:val="1C6826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AB53668"/>
    <w:multiLevelType w:val="hybridMultilevel"/>
    <w:tmpl w:val="FD30A0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07657"/>
    <w:multiLevelType w:val="hybridMultilevel"/>
    <w:tmpl w:val="65A4AC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E90A22"/>
    <w:multiLevelType w:val="hybridMultilevel"/>
    <w:tmpl w:val="CFC07CA4"/>
    <w:lvl w:ilvl="0" w:tplc="1DF20C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587A48"/>
    <w:multiLevelType w:val="hybridMultilevel"/>
    <w:tmpl w:val="DF7E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F1AD7"/>
    <w:multiLevelType w:val="hybridMultilevel"/>
    <w:tmpl w:val="AC7E07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FB402A3"/>
    <w:multiLevelType w:val="hybridMultilevel"/>
    <w:tmpl w:val="8D1AA2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76"/>
    <w:rsid w:val="00016201"/>
    <w:rsid w:val="00231A6B"/>
    <w:rsid w:val="00241652"/>
    <w:rsid w:val="002E0278"/>
    <w:rsid w:val="00317F46"/>
    <w:rsid w:val="00327CF6"/>
    <w:rsid w:val="00381252"/>
    <w:rsid w:val="003838F0"/>
    <w:rsid w:val="003B11C1"/>
    <w:rsid w:val="003C5D93"/>
    <w:rsid w:val="00562F25"/>
    <w:rsid w:val="00607710"/>
    <w:rsid w:val="006815C6"/>
    <w:rsid w:val="00683E64"/>
    <w:rsid w:val="006D585B"/>
    <w:rsid w:val="0070474D"/>
    <w:rsid w:val="007939BA"/>
    <w:rsid w:val="007F12F3"/>
    <w:rsid w:val="00846220"/>
    <w:rsid w:val="008766C1"/>
    <w:rsid w:val="00880058"/>
    <w:rsid w:val="008D3D97"/>
    <w:rsid w:val="00912B64"/>
    <w:rsid w:val="009B04D4"/>
    <w:rsid w:val="00AF7E46"/>
    <w:rsid w:val="00B00B0E"/>
    <w:rsid w:val="00CB2952"/>
    <w:rsid w:val="00CB4E89"/>
    <w:rsid w:val="00CE2651"/>
    <w:rsid w:val="00D37E01"/>
    <w:rsid w:val="00E34776"/>
    <w:rsid w:val="00E35DF6"/>
    <w:rsid w:val="00E72B1B"/>
    <w:rsid w:val="00E773AF"/>
    <w:rsid w:val="00F56A75"/>
    <w:rsid w:val="00F8002D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76"/>
  </w:style>
  <w:style w:type="paragraph" w:styleId="Footer">
    <w:name w:val="footer"/>
    <w:basedOn w:val="Normal"/>
    <w:link w:val="FooterChar"/>
    <w:uiPriority w:val="99"/>
    <w:unhideWhenUsed/>
    <w:rsid w:val="00E3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76"/>
  </w:style>
  <w:style w:type="paragraph" w:styleId="BalloonText">
    <w:name w:val="Balloon Text"/>
    <w:basedOn w:val="Normal"/>
    <w:link w:val="BalloonTextChar"/>
    <w:uiPriority w:val="99"/>
    <w:semiHidden/>
    <w:unhideWhenUsed/>
    <w:rsid w:val="00E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F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815C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5C6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76"/>
  </w:style>
  <w:style w:type="paragraph" w:styleId="Footer">
    <w:name w:val="footer"/>
    <w:basedOn w:val="Normal"/>
    <w:link w:val="FooterChar"/>
    <w:uiPriority w:val="99"/>
    <w:unhideWhenUsed/>
    <w:rsid w:val="00E3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76"/>
  </w:style>
  <w:style w:type="paragraph" w:styleId="BalloonText">
    <w:name w:val="Balloon Text"/>
    <w:basedOn w:val="Normal"/>
    <w:link w:val="BalloonTextChar"/>
    <w:uiPriority w:val="99"/>
    <w:semiHidden/>
    <w:unhideWhenUsed/>
    <w:rsid w:val="00E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F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815C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5C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29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6697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1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2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0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none" w:sz="0" w:space="0" w:color="auto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53164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msinfo.everetts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ett.k12.wa.us/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ushare.everett.k12.wa.us/docushare/dsweb/Get/Document-32400/2409%20Granting%20Equivalency%20Credi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ushare.everett.k12.wa.us/docushare/dsweb/Get/Document-412/241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3935-7B36-4199-9ADB-59819031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Willard,  Jeanne</dc:creator>
  <cp:keywords/>
  <dc:description/>
  <cp:lastModifiedBy>Willard,  Jeanne</cp:lastModifiedBy>
  <cp:revision>15</cp:revision>
  <cp:lastPrinted>2013-06-27T19:09:00Z</cp:lastPrinted>
  <dcterms:created xsi:type="dcterms:W3CDTF">2013-06-27T19:23:00Z</dcterms:created>
  <dcterms:modified xsi:type="dcterms:W3CDTF">2013-07-02T18:18:00Z</dcterms:modified>
</cp:coreProperties>
</file>